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5EC">
      <w:pPr>
        <w:pStyle w:val="2"/>
        <w:spacing w:line="273" w:lineRule="auto"/>
        <w:jc w:val="center"/>
        <w:rPr>
          <w:rFonts w:ascii="Arial Black" w:hAnsi="Arial Black"/>
          <w:color w:val="ED7D31"/>
          <w:kern w:val="36"/>
          <w:sz w:val="48"/>
          <w:szCs w:val="48"/>
          <w:lang w:val="es-ES"/>
        </w:rPr>
      </w:pPr>
      <w:r>
        <w:rPr>
          <w:rFonts w:ascii="Arial Black" w:hAnsi="Arial Black"/>
          <w:color w:val="ED7D31"/>
          <w:kern w:val="36"/>
          <w:sz w:val="48"/>
          <w:szCs w:val="48"/>
        </w:rPr>
        <w:t xml:space="preserve">PLAN </w:t>
      </w:r>
      <w:r>
        <w:rPr>
          <w:rFonts w:ascii="Arial Black" w:hAnsi="Arial Black"/>
          <w:color w:val="ED7D31"/>
          <w:kern w:val="36"/>
          <w:sz w:val="48"/>
          <w:szCs w:val="48"/>
          <w:lang w:val="es-ES"/>
        </w:rPr>
        <w:t xml:space="preserve">JIREH </w:t>
      </w:r>
    </w:p>
    <w:p w14:paraId="3C08F206">
      <w:pPr>
        <w:pStyle w:val="2"/>
        <w:spacing w:line="273" w:lineRule="auto"/>
        <w:jc w:val="center"/>
        <w:rPr>
          <w:rFonts w:ascii="Arial Black" w:hAnsi="Arial Black"/>
          <w:color w:val="ED7D31"/>
          <w:kern w:val="36"/>
          <w:sz w:val="48"/>
          <w:szCs w:val="48"/>
          <w:lang w:val="es-ES"/>
        </w:rPr>
      </w:pPr>
      <w:r>
        <w:rPr>
          <w:rFonts w:ascii="Arial Black" w:hAnsi="Arial Black"/>
          <w:color w:val="ED7D31"/>
          <w:kern w:val="36"/>
          <w:sz w:val="48"/>
          <w:szCs w:val="48"/>
          <w:lang w:val="es-ES"/>
        </w:rPr>
        <w:t>"EL SEÑOR PROVEERÁ"</w:t>
      </w:r>
    </w:p>
    <w:p w14:paraId="5B28D83A">
      <w:pPr>
        <w:rPr>
          <w:lang w:val="es-ES"/>
        </w:rPr>
      </w:pPr>
    </w:p>
    <w:p w14:paraId="4B31D156">
      <w:pPr>
        <w:spacing w:line="276" w:lineRule="auto"/>
        <w:jc w:val="center"/>
        <w:rPr>
          <w:rFonts w:ascii="Arial" w:hAnsi="Arial" w:cs="Arial"/>
          <w:b/>
          <w:sz w:val="28"/>
          <w:szCs w:val="28"/>
        </w:rPr>
      </w:pPr>
      <w:r>
        <w:rPr>
          <w:rFonts w:ascii="Arial" w:hAnsi="Arial" w:cs="Arial"/>
          <w:b/>
          <w:sz w:val="28"/>
          <w:szCs w:val="28"/>
        </w:rPr>
        <w:t>NORMATIVAS GENERALES DE SERVICIOS</w:t>
      </w:r>
    </w:p>
    <w:p w14:paraId="69B5748E">
      <w:pPr>
        <w:spacing w:line="276" w:lineRule="auto"/>
        <w:jc w:val="center"/>
        <w:rPr>
          <w:rFonts w:ascii="Arial" w:hAnsi="Arial" w:cs="Arial"/>
          <w:b/>
          <w:sz w:val="28"/>
          <w:szCs w:val="28"/>
        </w:rPr>
      </w:pPr>
      <w:r>
        <w:rPr>
          <w:rFonts w:ascii="Arial" w:hAnsi="Arial" w:cs="Arial"/>
          <w:b/>
          <w:sz w:val="28"/>
          <w:szCs w:val="28"/>
        </w:rPr>
        <w:t xml:space="preserve"> CORPORACION MEDICA ZULIA SALUD, C.A.</w:t>
      </w:r>
    </w:p>
    <w:p w14:paraId="13B1A3B7">
      <w:pPr>
        <w:spacing w:line="276" w:lineRule="auto"/>
        <w:jc w:val="center"/>
        <w:rPr>
          <w:rFonts w:ascii="Arial" w:hAnsi="Arial" w:cs="Arial"/>
          <w:b/>
          <w:sz w:val="28"/>
          <w:szCs w:val="28"/>
        </w:rPr>
      </w:pPr>
    </w:p>
    <w:p w14:paraId="1CC53FA7">
      <w:pPr>
        <w:spacing w:line="276" w:lineRule="auto"/>
        <w:jc w:val="center"/>
        <w:rPr>
          <w:rFonts w:ascii="Arial" w:hAnsi="Arial" w:cs="Arial"/>
          <w:b/>
          <w:sz w:val="28"/>
          <w:szCs w:val="28"/>
        </w:rPr>
      </w:pPr>
      <w:r>
        <w:rPr>
          <w:rFonts w:ascii="Arial" w:hAnsi="Arial" w:cs="Arial"/>
          <w:b/>
          <w:sz w:val="28"/>
          <w:szCs w:val="28"/>
        </w:rPr>
        <w:t>(Anexo “A”)</w:t>
      </w:r>
    </w:p>
    <w:p w14:paraId="0FB5043C">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w:t>
      </w:r>
      <w:r>
        <w:rPr>
          <w:rFonts w:ascii="Arial" w:hAnsi="Arial" w:cs="Arial"/>
          <w:b/>
          <w:bCs/>
        </w:rPr>
        <w:t>CORPORACION MÉDICA ZULIA SALUD, C.A,</w:t>
      </w:r>
      <w:r>
        <w:rPr>
          <w:rFonts w:ascii="Arial" w:hAnsi="Arial" w:cs="Arial"/>
        </w:rPr>
        <w:t xml:space="preserve">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el </w:t>
      </w:r>
      <w:r>
        <w:rPr>
          <w:rFonts w:ascii="Arial" w:hAnsi="Arial" w:cs="Arial"/>
          <w:b/>
        </w:rPr>
        <w:t>PLAN DE SALUD JIREH</w:t>
      </w:r>
      <w:r>
        <w:rPr>
          <w:rFonts w:ascii="Arial" w:hAnsi="Arial" w:cs="Arial"/>
        </w:rPr>
        <w:t xml:space="preserve">, identificado como </w:t>
      </w:r>
      <w:r>
        <w:rPr>
          <w:rFonts w:ascii="Arial" w:hAnsi="Arial" w:cs="Arial"/>
          <w:b/>
        </w:rPr>
        <w:t xml:space="preserve">CONDICIONES DEL SERVICIO DE </w:t>
      </w:r>
      <w:r>
        <w:rPr>
          <w:rFonts w:ascii="Arial" w:hAnsi="Arial" w:cs="Arial"/>
          <w:b/>
          <w:bCs/>
        </w:rPr>
        <w:t>CORPORACION MÉDICA ZULIA SALUD, C.A,</w:t>
      </w:r>
      <w:r>
        <w:rPr>
          <w:rFonts w:ascii="Arial" w:hAnsi="Arial" w:cs="Arial"/>
        </w:rPr>
        <w:t xml:space="preserve"> </w:t>
      </w:r>
      <w:r>
        <w:rPr>
          <w:rFonts w:ascii="Arial" w:hAnsi="Arial" w:cs="Arial"/>
          <w:b/>
        </w:rPr>
        <w:t xml:space="preserve">(Anexo “A”) </w:t>
      </w:r>
      <w:r>
        <w:rPr>
          <w:rFonts w:ascii="Arial" w:hAnsi="Arial" w:cs="Arial"/>
        </w:rPr>
        <w:t xml:space="preserve">y que constituye la base y forma parte de dicho contrato, especificados a continuación: </w:t>
      </w:r>
    </w:p>
    <w:p w14:paraId="22C6A4E5">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w:t>
      </w:r>
      <w:bookmarkStart w:id="0" w:name="_Hlk137626361"/>
      <w:r>
        <w:rPr>
          <w:rFonts w:ascii="Arial" w:hAnsi="Arial" w:cs="Arial"/>
        </w:rPr>
        <w:t xml:space="preserve">Corporación Médica Zulia Salud, C.A, </w:t>
      </w:r>
      <w:bookmarkEnd w:id="0"/>
      <w:r>
        <w:rPr>
          <w:rFonts w:ascii="Arial" w:hAnsi="Arial" w:cs="Arial"/>
        </w:rPr>
        <w:t xml:space="preserve">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como en el caso de las empresas, gremios, asociaciones o similares, el cual asume la función de contratante en representación de ellos. </w:t>
      </w:r>
      <w:r>
        <w:rPr>
          <w:rFonts w:ascii="Arial" w:hAnsi="Arial" w:cs="Arial"/>
          <w:b/>
          <w:u w:val="single"/>
        </w:rPr>
        <w:t>Solicitud de afiliación</w:t>
      </w:r>
      <w:r>
        <w:rPr>
          <w:rFonts w:ascii="Arial" w:hAnsi="Arial" w:cs="Arial"/>
          <w:u w:val="single"/>
        </w:rPr>
        <w:t>:</w:t>
      </w:r>
      <w:r>
        <w:rPr>
          <w:rFonts w:ascii="Arial" w:hAnsi="Arial" w:cs="Arial"/>
        </w:rPr>
        <w:t xml:space="preserve"> Formulario de solicitud que proporciona Corporación Médica Zulia Salud, C.A, el cual contiene un conjunto de preguntas relativas a la identificación de los afiliados así como también del estado de salud de cada una de las personas que estarán amparadas por el contrato y demás datos que puedan incidir en la estimación de riesgos, que deben ser contestada en su totalidad y con exactitud por el afiliado (titular), constituyendo dicha declaración la base legal para la emisión del contrato de afiliación. </w:t>
      </w:r>
    </w:p>
    <w:p w14:paraId="7D94EDE2">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La vigencia del contrato será de un (1) año a partir de la fecha de emisión plasmado en el recibo de pago emitido por el departamento de ventas, fecha en la cual podrá ser renovado automáticamente, sin que esto impida que durante la vigencia del contrato Corporación Médica Zulia Salud, C.A, pueda realizar cambios de la presente normativa para una mayor calidad en el servicio.</w:t>
      </w:r>
    </w:p>
    <w:p w14:paraId="589936C0">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Coprología:</w:t>
      </w:r>
      <w:r>
        <w:rPr>
          <w:rFonts w:ascii="Arial" w:hAnsi="Arial" w:cs="Arial"/>
        </w:rPr>
        <w:t xml:space="preserve"> Heces directo, Sangre oculta. </w:t>
      </w:r>
      <w:r>
        <w:rPr>
          <w:rFonts w:ascii="Arial" w:hAnsi="Arial" w:cs="Arial"/>
          <w:b/>
        </w:rPr>
        <w:t>3.-</w:t>
      </w:r>
      <w:r>
        <w:rPr>
          <w:rFonts w:ascii="Arial" w:hAnsi="Arial" w:cs="Arial"/>
        </w:rPr>
        <w:t xml:space="preserve"> </w:t>
      </w:r>
      <w:r>
        <w:rPr>
          <w:rFonts w:ascii="Arial" w:hAnsi="Arial" w:cs="Arial"/>
          <w:b/>
        </w:rPr>
        <w:t>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Toxo  IgG - IgM, HIV, H. Pilory, </w:t>
      </w:r>
      <w:r>
        <w:rPr>
          <w:rFonts w:ascii="Arial" w:hAnsi="Arial" w:cs="Arial"/>
          <w:color w:val="FF0000"/>
        </w:rPr>
        <w:t xml:space="preserve"> </w:t>
      </w:r>
      <w:r>
        <w:rPr>
          <w:rFonts w:ascii="Arial" w:hAnsi="Arial" w:cs="Arial"/>
          <w:color w:val="000000" w:themeColor="text1"/>
          <w14:textFill>
            <w14:solidFill>
              <w14:schemeClr w14:val="tx1"/>
            </w14:solidFill>
          </w14:textFill>
        </w:rPr>
        <w:t xml:space="preserve">Toxo Test IHA,  </w:t>
      </w:r>
      <w:r>
        <w:rPr>
          <w:rFonts w:ascii="Arial" w:hAnsi="Arial" w:cs="Arial"/>
          <w:u w:val="single"/>
        </w:rPr>
        <w:t>Bioquímica:</w:t>
      </w:r>
      <w:r>
        <w:rPr>
          <w:rFonts w:ascii="Arial" w:hAnsi="Arial" w:cs="Arial"/>
          <w:b/>
        </w:rPr>
        <w:t xml:space="preserve"> </w:t>
      </w:r>
      <w:r>
        <w:rPr>
          <w:rFonts w:ascii="Arial" w:hAnsi="Arial" w:cs="Arial"/>
        </w:rPr>
        <w:t xml:space="preserve">CPK-MB, Troponina T, </w:t>
      </w:r>
      <w:r>
        <w:rPr>
          <w:rFonts w:ascii="Arial" w:hAnsi="Arial" w:cs="Arial"/>
          <w:u w:val="single"/>
        </w:rPr>
        <w:t>Bacteriología :</w:t>
      </w:r>
      <w:r>
        <w:rPr>
          <w:rFonts w:ascii="Arial" w:hAnsi="Arial" w:cs="Arial"/>
        </w:rPr>
        <w:t xml:space="preserve"> Urocultivo, Hemocultivo,  Coprocultivo,  Espermocultivo, Cultivo de Liquido Sinovial, Cultivo de Esputo, Cultivo de Liquido Ascistico,  Cultivo de Liquido Peritoneal, Cultivo de Exudado Faríngeo, Cultivo de Secreción Nasal, Cultivo de Secreción Ocular, Cultivo de Secreción de Herida, Cultivo de Secreción de Herida Post Operatorio, Cultivo de Ulceras, Cultivos de Abscesos, Cultivos de Secreción Vaginal, Cultivos de Secreción Uretral,  Cultivos de Escaras. </w:t>
      </w:r>
      <w:r>
        <w:rPr>
          <w:rFonts w:ascii="Arial" w:hAnsi="Arial" w:cs="Arial"/>
          <w:b/>
        </w:rPr>
        <w:t>4.- Exámenes Preoperatorios:</w:t>
      </w:r>
      <w:r>
        <w:rPr>
          <w:rFonts w:ascii="Arial" w:hAnsi="Arial" w:cs="Arial"/>
        </w:rPr>
        <w:t xml:space="preserve"> Solo para procedimientos realizados en Corporación Médica Zulia Salud, C.A, y Centro Clínico Materno Pediátrico Zulia. </w:t>
      </w:r>
      <w:r>
        <w:rPr>
          <w:rFonts w:ascii="Arial" w:hAnsi="Arial" w:cs="Arial"/>
          <w:b/>
        </w:rPr>
        <w:t>5.-Ecogramas Básicos:</w:t>
      </w:r>
      <w:r>
        <w:rPr>
          <w:rFonts w:ascii="Arial" w:hAnsi="Arial" w:cs="Arial"/>
        </w:rPr>
        <w:t xml:space="preserve"> Transvaginal, Hepatobiliar, Abdominal, Pélvico, Renal y Partes Blandas (cuello-piel-abdomen). </w:t>
      </w:r>
      <w:r>
        <w:rPr>
          <w:rFonts w:ascii="Arial" w:hAnsi="Arial" w:cs="Arial"/>
          <w:b/>
        </w:rPr>
        <w:t>6.-Ecogramas Especiales:</w:t>
      </w:r>
      <w:r>
        <w:rPr>
          <w:rFonts w:ascii="Arial" w:hAnsi="Arial" w:cs="Arial"/>
        </w:rPr>
        <w:t xml:space="preserve"> Transfontanelar, Mamario, Prostático Vesical, Testicular, Tiroideo, Prostático Transrectal vía pélvica, Doppler Renal – Abdominal, Doppler Arterial y Venoso, Doppler testicular, Doppler Tiroideo. </w:t>
      </w:r>
      <w:r>
        <w:rPr>
          <w:rFonts w:ascii="Arial" w:hAnsi="Arial" w:cs="Arial"/>
          <w:b/>
        </w:rPr>
        <w:t>7.-</w:t>
      </w:r>
      <w:r>
        <w:rPr>
          <w:rFonts w:ascii="Arial" w:hAnsi="Arial" w:cs="Arial"/>
        </w:rPr>
        <w:t xml:space="preserve"> </w:t>
      </w:r>
      <w:r>
        <w:rPr>
          <w:rFonts w:ascii="Arial" w:hAnsi="Arial" w:cs="Arial"/>
          <w:b/>
        </w:rPr>
        <w:t>Ecogramas de Maternidad</w:t>
      </w:r>
      <w:r>
        <w:rPr>
          <w:rFonts w:ascii="Arial" w:hAnsi="Arial" w:cs="Arial"/>
        </w:rPr>
        <w:t>: Obstétrico, Morfogenético, Perfil Biofísico, Perfil Hemodinámico</w:t>
      </w:r>
      <w:r>
        <w:rPr>
          <w:rFonts w:ascii="Arial" w:hAnsi="Arial" w:cs="Arial"/>
          <w:b/>
        </w:rPr>
        <w:t>. 8.- Servicio de Radiología</w:t>
      </w:r>
      <w:r>
        <w:rPr>
          <w:rFonts w:ascii="Arial" w:hAnsi="Arial" w:cs="Arial"/>
        </w:rPr>
        <w:t xml:space="preserve">: Tórax, Pie, Muñeca, Manos, Rodilla, Hombro, AP caudal/verdadera/cefalocaudal, Cadera, Calcáneo, Cavum, Cráneo, Rinofaringe, Columna Cervical AP-LAT, los estudios radiológicos antes descrito se podrán realizar SIN INDICACIONES DE PESO, Pelvis y cadera los estudios radiológicos antes descrito se realizaran HASTA UN PESO MÁXIMO DE 75 KG, la Columna Lumbo Sacra AP-LAT, Columna Toraco Lumbar, Columna Dorso Lumbar, Abdomen de Pie, Pie con carga, Rodilla con carga se realizaran HASTA UN PESO MÁXIMO DE 80 KG. </w:t>
      </w:r>
      <w:r>
        <w:rPr>
          <w:rFonts w:ascii="Arial" w:hAnsi="Arial" w:cs="Arial"/>
          <w:b/>
        </w:rPr>
        <w:t xml:space="preserve">9.- Servicio de Tomografía Simple y sin contraste de Emergencia: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rPr>
        <w:t>10.-</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11.-Citología vaginal:</w:t>
      </w:r>
      <w:r>
        <w:rPr>
          <w:rFonts w:ascii="Arial" w:hAnsi="Arial" w:cs="Arial"/>
        </w:rPr>
        <w:t xml:space="preserve"> Se realizaran una (1) vez al año para cada afiliada del grupo familiar. </w:t>
      </w:r>
      <w:r>
        <w:rPr>
          <w:rFonts w:ascii="Arial" w:hAnsi="Arial" w:cs="Arial"/>
          <w:b/>
        </w:rPr>
        <w:t>12.- Estudios Cardiológicos</w:t>
      </w:r>
      <w:r>
        <w:rPr>
          <w:rFonts w:ascii="Arial" w:hAnsi="Arial" w:cs="Arial"/>
        </w:rPr>
        <w:t xml:space="preserve">: Electrocardiograma, Mapa, Holter, Valoración Cardiovascular preoperatorio para procedimientos quirúrgicos y estudios de diagnósticos realizados en Corporación Médica Zulia Salud, C.A, o Centro Clínico Materno Pediátrico Zulia. </w:t>
      </w:r>
      <w:r>
        <w:rPr>
          <w:rFonts w:ascii="Arial" w:hAnsi="Arial" w:cs="Arial"/>
          <w:b/>
        </w:rPr>
        <w:t>13.-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rPr>
        <w:t>14.-</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blandas (verrugas, baso celular, lunares), Lipoma, Quistes. </w:t>
      </w:r>
      <w:r>
        <w:rPr>
          <w:rFonts w:ascii="Arial" w:hAnsi="Arial" w:cs="Arial"/>
          <w:b/>
          <w:bCs/>
          <w:u w:val="single"/>
        </w:rPr>
        <w:t>Cirugía Pediátrica (Emergencia):</w:t>
      </w:r>
      <w:r>
        <w:rPr>
          <w:rFonts w:ascii="Arial" w:hAnsi="Arial" w:cs="Arial"/>
        </w:rPr>
        <w:t xml:space="preserve"> Apendicitis, Traumatismos Abdominales. </w:t>
      </w:r>
      <w:r>
        <w:rPr>
          <w:rFonts w:ascii="Arial" w:hAnsi="Arial" w:cs="Arial"/>
          <w:b/>
          <w:bCs/>
          <w:u w:val="single"/>
        </w:rPr>
        <w:t>Urología Adultos (Electiva</w:t>
      </w:r>
      <w:r>
        <w:rPr>
          <w:rFonts w:ascii="Arial" w:hAnsi="Arial" w:cs="Arial"/>
          <w:bCs/>
          <w:u w:val="single"/>
        </w:rPr>
        <w:t>):</w:t>
      </w:r>
      <w:r>
        <w:rPr>
          <w:rFonts w:ascii="Arial" w:hAnsi="Arial" w:cs="Arial"/>
          <w:b/>
        </w:rPr>
        <w:t xml:space="preserve"> </w:t>
      </w:r>
      <w:r>
        <w:rPr>
          <w:rFonts w:ascii="Arial" w:hAnsi="Arial" w:cs="Arial"/>
        </w:rPr>
        <w:t xml:space="preserve">Varicocele, Hidrocele, Hernia Inguinal, Fimosis. </w:t>
      </w:r>
      <w:r>
        <w:rPr>
          <w:rFonts w:ascii="Arial" w:hAnsi="Arial" w:cs="Arial"/>
          <w:b/>
          <w:bCs/>
          <w:u w:val="single"/>
        </w:rPr>
        <w:t>Urología Adultos (Emergencia)</w:t>
      </w:r>
      <w:r>
        <w:rPr>
          <w:rFonts w:ascii="Arial" w:hAnsi="Arial" w:cs="Arial"/>
          <w:b/>
          <w:bCs/>
        </w:rPr>
        <w:t>:</w:t>
      </w:r>
      <w:r>
        <w:rPr>
          <w:rFonts w:ascii="Arial" w:hAnsi="Arial" w:cs="Arial"/>
          <w:bCs/>
        </w:rPr>
        <w:t xml:space="preserve"> </w:t>
      </w:r>
      <w:r>
        <w:rPr>
          <w:rFonts w:ascii="Arial" w:hAnsi="Arial" w:cs="Arial"/>
        </w:rPr>
        <w:t xml:space="preserve">Torsión Testicular, Traumatismo del Pene, Traumatismo Renal. </w:t>
      </w:r>
      <w:r>
        <w:rPr>
          <w:rFonts w:ascii="Arial" w:hAnsi="Arial" w:cs="Arial"/>
          <w:b/>
          <w:bCs/>
          <w:u w:val="single"/>
        </w:rPr>
        <w:t>Otorrinolaringología Adultos y Pediátricos (Electivas</w:t>
      </w:r>
      <w:r>
        <w:rPr>
          <w:rFonts w:ascii="Arial" w:hAnsi="Arial" w:cs="Arial"/>
          <w:bCs/>
          <w:u w:val="single"/>
        </w:rPr>
        <w:t>):</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Pr>
          <w:rFonts w:ascii="Arial" w:hAnsi="Arial" w:cs="Arial"/>
          <w:b/>
          <w:bCs/>
          <w:u w:val="single"/>
        </w:rPr>
        <w:t>Otorrinolaringología Adultos y Pediátricos (Emergencias)</w:t>
      </w:r>
      <w:r>
        <w:rPr>
          <w:rFonts w:ascii="Arial" w:hAnsi="Arial" w:cs="Arial"/>
          <w:bCs/>
          <w:u w:val="single"/>
        </w:rPr>
        <w:t>:</w:t>
      </w:r>
      <w:r>
        <w:rPr>
          <w:rFonts w:ascii="Arial" w:hAnsi="Arial" w:cs="Arial"/>
          <w:b/>
        </w:rPr>
        <w:t xml:space="preserve"> </w:t>
      </w:r>
      <w:r>
        <w:rPr>
          <w:rFonts w:ascii="Arial" w:hAnsi="Arial" w:cs="Arial"/>
        </w:rPr>
        <w:t xml:space="preserve">Fractura nasal (tabique-huesos propios de nariz), Hematoma Septal, Absceso Admigdalar. </w:t>
      </w:r>
      <w:r>
        <w:rPr>
          <w:rFonts w:ascii="Arial" w:hAnsi="Arial" w:cs="Arial"/>
          <w:b/>
          <w:bCs/>
          <w:u w:val="single"/>
        </w:rPr>
        <w:t>Traumatología Adultos y pediátricos (Electivas):</w:t>
      </w:r>
      <w:r>
        <w:rPr>
          <w:rFonts w:ascii="Arial" w:hAnsi="Arial" w:cs="Arial"/>
          <w:b/>
        </w:rPr>
        <w:t xml:space="preserve"> </w:t>
      </w:r>
      <w:r>
        <w:rPr>
          <w:rFonts w:ascii="Arial" w:hAnsi="Arial" w:cs="Arial"/>
        </w:rPr>
        <w:t xml:space="preserve">Síndrome Túnel Carpiano, Dedo en gatillo, Onicocriptosis, Enfermedad Dquervain, Síndrome de canal de Guyon, Síndrome de canal cubital. </w:t>
      </w:r>
      <w:r>
        <w:rPr>
          <w:rFonts w:hint="default" w:ascii="Arial" w:hAnsi="Arial"/>
          <w:b/>
          <w:bCs/>
          <w:i w:val="0"/>
          <w:iCs w:val="0"/>
          <w:u w:val="single"/>
        </w:rPr>
        <w:t xml:space="preserve">Traumatología Adultos y Pediátricos (Emergencias): </w:t>
      </w:r>
      <w:r>
        <w:rPr>
          <w:rFonts w:hint="default" w:ascii="Arial" w:hAnsi="Arial"/>
        </w:rPr>
        <w:t xml:space="preserve">Fracturas postraumáticas accidentales de miembro superior: a) Falanges, b) Metacarpianos, c) Radio (no articular), d) Cubito (no articular), Clavícula. No se encuentra amparadas cirugías de fracturas articulares. </w:t>
      </w:r>
      <w:r>
        <w:rPr>
          <w:rFonts w:hint="default" w:ascii="Arial" w:hAnsi="Arial"/>
          <w:b/>
          <w:bCs/>
        </w:rPr>
        <w:t xml:space="preserve">Fracturas postraumáticas accidentales de miembro Inferior: </w:t>
      </w:r>
      <w:r>
        <w:rPr>
          <w:rFonts w:hint="default" w:ascii="Arial" w:hAnsi="Arial"/>
        </w:rPr>
        <w:t xml:space="preserve">a) Tibia (no articular), b) Peroné (no articular), c) Fémur. No se encuentra amparadas cirugías de fracturas articulares.  </w:t>
      </w:r>
      <w:r>
        <w:rPr>
          <w:rFonts w:hint="default" w:ascii="Arial" w:hAnsi="Arial"/>
          <w:b/>
          <w:bCs/>
        </w:rPr>
        <w:t>Luxaciones de miembro Superior:</w:t>
      </w:r>
      <w:r>
        <w:rPr>
          <w:rFonts w:hint="default" w:ascii="Arial" w:hAnsi="Arial"/>
        </w:rPr>
        <w:t xml:space="preserve"> a) Hombro, b) Codo, c) Muñeca, d) Digitales. </w:t>
      </w:r>
      <w:r>
        <w:rPr>
          <w:rFonts w:hint="default" w:ascii="Arial" w:hAnsi="Arial"/>
          <w:b/>
          <w:bCs/>
        </w:rPr>
        <w:t>Luxaciones de miembro Inferior:</w:t>
      </w:r>
      <w:r>
        <w:rPr>
          <w:rFonts w:hint="default" w:ascii="Arial" w:hAnsi="Arial"/>
        </w:rPr>
        <w:t xml:space="preserve"> a) Tobillo (no asociado a fracturas), Esguinces. </w:t>
      </w:r>
      <w:r>
        <w:rPr>
          <w:rFonts w:hint="default" w:ascii="Arial" w:hAnsi="Arial"/>
          <w:b/>
          <w:bCs/>
        </w:rPr>
        <w:t>Amputaciones Traumáticas</w:t>
      </w:r>
      <w:r>
        <w:rPr>
          <w:rFonts w:ascii="Arial" w:hAnsi="Arial" w:cs="Arial"/>
          <w:b/>
        </w:rPr>
        <w:t xml:space="preserve">: </w:t>
      </w:r>
      <w:r>
        <w:rPr>
          <w:rFonts w:ascii="Arial" w:hAnsi="Arial" w:cs="Arial"/>
        </w:rPr>
        <w:t xml:space="preserve">Punta de dedo (manos y pies), material de Osteosíntesis e Intensificador de Imagen </w:t>
      </w:r>
      <w:r>
        <w:rPr>
          <w:rFonts w:ascii="Arial" w:hAnsi="Arial" w:cs="Arial"/>
          <w:b/>
        </w:rPr>
        <w:t>no se encuentra amparado. Ginecología- Obstetricia:</w:t>
      </w:r>
      <w:r>
        <w:rPr>
          <w:rFonts w:ascii="Arial" w:hAnsi="Arial" w:cs="Arial"/>
          <w:b/>
          <w:u w:val="single"/>
        </w:rPr>
        <w:t xml:space="preserve">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Pr>
          <w:rFonts w:ascii="Arial" w:hAnsi="Arial" w:cs="Arial"/>
          <w:b/>
          <w:bCs/>
          <w:u w:val="single"/>
        </w:rPr>
        <w:t>Ginecología (Electivas)</w:t>
      </w:r>
      <w:r>
        <w:rPr>
          <w:rFonts w:ascii="Arial" w:hAnsi="Arial" w:cs="Arial"/>
          <w:b/>
        </w:rPr>
        <w:t>:</w:t>
      </w:r>
      <w:r>
        <w:rPr>
          <w:rFonts w:ascii="Arial" w:hAnsi="Arial" w:cs="Arial"/>
        </w:rPr>
        <w:t xml:space="preserve"> Miomectomía, Tumoración Benigna de Ovarios</w:t>
      </w:r>
      <w:r>
        <w:rPr>
          <w:rFonts w:hint="default" w:ascii="Arial" w:hAnsi="Arial" w:cs="Arial"/>
          <w:lang w:val="es-ES"/>
        </w:rPr>
        <w:t xml:space="preserve"> </w:t>
      </w:r>
      <w:r>
        <w:rPr>
          <w:rFonts w:hint="default" w:ascii="Arial" w:hAnsi="Arial"/>
          <w:lang w:val="es-ES"/>
        </w:rPr>
        <w:t>(no incluye laparoscopio),</w:t>
      </w:r>
      <w:bookmarkStart w:id="2" w:name="_GoBack"/>
      <w:bookmarkEnd w:id="2"/>
      <w:r>
        <w:rPr>
          <w:rFonts w:ascii="Arial" w:hAnsi="Arial" w:cs="Arial"/>
        </w:rPr>
        <w:t xml:space="preserve"> Histerectomía. </w:t>
      </w:r>
      <w:r>
        <w:rPr>
          <w:rFonts w:ascii="Arial" w:hAnsi="Arial" w:cs="Arial"/>
          <w:b/>
          <w:bCs/>
          <w:u w:val="single"/>
        </w:rPr>
        <w:t>Ginecología (Emergencia</w:t>
      </w:r>
      <w:r>
        <w:rPr>
          <w:rFonts w:ascii="Arial" w:hAnsi="Arial" w:cs="Arial"/>
          <w:b/>
        </w:rPr>
        <w:t xml:space="preserve">): </w:t>
      </w:r>
      <w:r>
        <w:rPr>
          <w:rFonts w:ascii="Arial" w:hAnsi="Arial" w:cs="Arial"/>
        </w:rPr>
        <w:t xml:space="preserve">Traumatismo Vulvar y/o vaginal. Legrado uterino por fibromatosis (cuando se presenta después del 1 año de contrato). </w:t>
      </w:r>
      <w:r>
        <w:rPr>
          <w:rFonts w:ascii="Arial" w:hAnsi="Arial" w:cs="Arial"/>
          <w:b/>
        </w:rPr>
        <w:t xml:space="preserve"> Las cirugías no mencionadas taxativamente en estas normativas no están amparadas.</w:t>
      </w:r>
      <w:r>
        <w:rPr>
          <w:rFonts w:ascii="Arial" w:hAnsi="Arial" w:cs="Arial"/>
        </w:rPr>
        <w:t xml:space="preserve"> </w:t>
      </w:r>
      <w:r>
        <w:rPr>
          <w:rFonts w:ascii="Arial" w:hAnsi="Arial" w:cs="Arial"/>
          <w:b/>
        </w:rPr>
        <w:t>15.- Unidad de cuidados Intensivos Adultos y Pediátricos se encuentra amparada una vez cumplido el plazo de espera (1 año).</w:t>
      </w:r>
      <w:r>
        <w:rPr>
          <w:rFonts w:ascii="Arial" w:hAnsi="Arial" w:cs="Arial"/>
        </w:rPr>
        <w:t xml:space="preserve"> </w:t>
      </w:r>
      <w:r>
        <w:rPr>
          <w:rFonts w:ascii="Arial" w:hAnsi="Arial" w:cs="Arial"/>
          <w:b/>
        </w:rPr>
        <w:t>15.- Servicio de Hospitalización Adultos y Pediátricos</w:t>
      </w:r>
      <w:r>
        <w:rPr>
          <w:rFonts w:ascii="Arial" w:hAnsi="Arial" w:cs="Arial"/>
        </w:rPr>
        <w:t xml:space="preserve">: Con cobertura de gastos clínicos y honorarios profesionales si la causa de ingreso a la institución es tratada con algunos de los especialistas del directorio medico de Corporación Médica Zulia Salud C.A. </w:t>
      </w:r>
      <w:r>
        <w:rPr>
          <w:rFonts w:ascii="Arial" w:hAnsi="Arial" w:cs="Arial"/>
          <w:b/>
        </w:rPr>
        <w:t xml:space="preserve">16.- Peluquería: </w:t>
      </w:r>
      <w:r>
        <w:rPr>
          <w:rFonts w:ascii="Arial" w:hAnsi="Arial" w:cs="Arial"/>
        </w:rPr>
        <w:t>A partir de los doce (12) años de edad, cortes de cabello y planchados; damas y caballeros, 2 turnos al mes por afiliado. Los menores de edad deben asistir acompañados por su representante.</w:t>
      </w:r>
    </w:p>
    <w:p w14:paraId="3BA35F09">
      <w:pPr>
        <w:spacing w:line="276" w:lineRule="auto"/>
        <w:jc w:val="both"/>
        <w:rPr>
          <w:rFonts w:ascii="Arial" w:hAnsi="Arial" w:eastAsia="Arial Unicode MS" w:cs="Arial"/>
        </w:rPr>
      </w:pPr>
      <w:r>
        <w:rPr>
          <w:rFonts w:ascii="Arial" w:hAnsi="Arial" w:cs="Arial"/>
          <w:b/>
        </w:rPr>
        <w:t>4. ESPECIALIDADES MÉDICAS OFRECIDAS:</w:t>
      </w:r>
      <w:r>
        <w:rPr>
          <w:rFonts w:ascii="Arial" w:hAnsi="Arial" w:cs="Arial"/>
        </w:rPr>
        <w:t xml:space="preserve">  </w:t>
      </w:r>
      <w:r>
        <w:rPr>
          <w:rFonts w:ascii="Arial" w:hAnsi="Arial" w:cs="Arial"/>
          <w:u w:val="single"/>
        </w:rPr>
        <w:t>Medicina General</w:t>
      </w:r>
      <w:r>
        <w:rPr>
          <w:rFonts w:ascii="Arial" w:hAnsi="Arial" w:cs="Arial"/>
        </w:rPr>
        <w:t xml:space="preserve"> (a partir de los 16 años de edad), </w:t>
      </w:r>
      <w:r>
        <w:rPr>
          <w:rFonts w:ascii="Arial" w:hAnsi="Arial" w:cs="Arial"/>
          <w:u w:val="single"/>
        </w:rPr>
        <w:t>Medicina Interna</w:t>
      </w:r>
      <w:r>
        <w:rPr>
          <w:rFonts w:ascii="Arial" w:hAnsi="Arial" w:cs="Arial"/>
        </w:rPr>
        <w:t xml:space="preserve"> </w:t>
      </w:r>
      <w:r>
        <w:rPr>
          <w:rFonts w:ascii="Arial" w:hAnsi="Arial" w:cs="Arial"/>
          <w:u w:val="single"/>
        </w:rPr>
        <w:t>(</w:t>
      </w:r>
      <w:r>
        <w:rPr>
          <w:rFonts w:ascii="Arial" w:hAnsi="Arial" w:cs="Arial"/>
        </w:rPr>
        <w:t>a partir de los 16 años de edad),</w:t>
      </w:r>
      <w:r>
        <w:rPr>
          <w:rFonts w:ascii="Arial" w:hAnsi="Arial" w:cs="Arial"/>
          <w:u w:val="single"/>
        </w:rPr>
        <w:t xml:space="preserve"> </w:t>
      </w:r>
      <w:r>
        <w:rPr>
          <w:rFonts w:ascii="Arial" w:hAnsi="Arial" w:cs="Arial"/>
          <w:color w:val="000000" w:themeColor="text1"/>
          <w:u w:val="single"/>
          <w14:textFill>
            <w14:solidFill>
              <w14:schemeClr w14:val="tx1"/>
            </w14:solidFill>
          </w14:textFill>
        </w:rPr>
        <w:t>Pediatría</w:t>
      </w:r>
      <w:r>
        <w:rPr>
          <w:rFonts w:ascii="Arial" w:hAnsi="Arial" w:cs="Arial"/>
          <w:color w:val="000000" w:themeColor="text1"/>
          <w14:textFill>
            <w14:solidFill>
              <w14:schemeClr w14:val="tx1"/>
            </w14:solidFill>
          </w14:textFill>
        </w:rPr>
        <w:t xml:space="preserve"> (</w:t>
      </w:r>
      <w:r>
        <w:rPr>
          <w:rFonts w:ascii="Arial" w:hAnsi="Arial" w:cs="Arial"/>
        </w:rPr>
        <w:t xml:space="preserve">hasta los 15 años de edad), </w:t>
      </w:r>
      <w:r>
        <w:rPr>
          <w:rFonts w:ascii="Arial" w:hAnsi="Arial" w:cs="Arial"/>
          <w:u w:val="single"/>
        </w:rPr>
        <w:t>Ginecología</w:t>
      </w:r>
      <w:r>
        <w:rPr>
          <w:rFonts w:ascii="Arial" w:hAnsi="Arial" w:cs="Arial"/>
        </w:rPr>
        <w:t xml:space="preserve"> (a partir de  los 8 años de edad), </w:t>
      </w:r>
      <w:r>
        <w:rPr>
          <w:rFonts w:ascii="Arial" w:hAnsi="Arial" w:cs="Arial"/>
          <w:u w:val="single"/>
        </w:rPr>
        <w:t>Cardiología Adulto</w:t>
      </w:r>
      <w:r>
        <w:rPr>
          <w:rFonts w:ascii="Arial" w:hAnsi="Arial" w:cs="Arial"/>
        </w:rPr>
        <w:t xml:space="preserve"> a (partir de los 18 años de edad), </w:t>
      </w:r>
      <w:r>
        <w:rPr>
          <w:rFonts w:ascii="Arial" w:hAnsi="Arial" w:cs="Arial"/>
          <w:u w:val="single"/>
        </w:rPr>
        <w:t>Cirugía General</w:t>
      </w:r>
      <w:r>
        <w:rPr>
          <w:rFonts w:ascii="Arial" w:hAnsi="Arial" w:cs="Arial"/>
        </w:rPr>
        <w:t xml:space="preserve"> (a partir de los 17 años de edad), </w:t>
      </w:r>
      <w:r>
        <w:rPr>
          <w:rFonts w:ascii="Arial" w:hAnsi="Arial" w:cs="Arial"/>
          <w:u w:val="single"/>
        </w:rPr>
        <w:t>Cirugía Pediátrica</w:t>
      </w:r>
      <w:r>
        <w:rPr>
          <w:rFonts w:ascii="Arial" w:hAnsi="Arial" w:cs="Arial"/>
        </w:rPr>
        <w:t xml:space="preserve"> (hasta 16 años de edad), </w:t>
      </w:r>
      <w:r>
        <w:rPr>
          <w:rFonts w:ascii="Arial" w:hAnsi="Arial" w:cs="Arial"/>
          <w:u w:val="single"/>
        </w:rPr>
        <w:t>Dermatología</w:t>
      </w:r>
      <w:r>
        <w:rPr>
          <w:rFonts w:ascii="Arial" w:hAnsi="Arial" w:cs="Arial"/>
        </w:rPr>
        <w:t xml:space="preserve"> niños y adultos, </w:t>
      </w:r>
      <w:r>
        <w:rPr>
          <w:rFonts w:ascii="Arial" w:hAnsi="Arial" w:cs="Arial"/>
          <w:u w:val="single"/>
        </w:rPr>
        <w:t xml:space="preserve">Gastroenterología </w:t>
      </w:r>
      <w:r>
        <w:rPr>
          <w:rFonts w:ascii="Arial" w:hAnsi="Arial" w:cs="Arial"/>
        </w:rPr>
        <w:t xml:space="preserve">Adulto (a partir de los 18 años de edad), </w:t>
      </w:r>
      <w:r>
        <w:rPr>
          <w:rFonts w:ascii="Arial" w:hAnsi="Arial" w:cs="Arial"/>
          <w:u w:val="single"/>
        </w:rPr>
        <w:t>Nutrición</w:t>
      </w:r>
      <w:r>
        <w:rPr>
          <w:rFonts w:ascii="Arial" w:hAnsi="Arial" w:cs="Arial"/>
        </w:rPr>
        <w:t xml:space="preserve"> niños y adultos, </w:t>
      </w:r>
      <w:r>
        <w:rPr>
          <w:rFonts w:ascii="Arial" w:hAnsi="Arial" w:cs="Arial"/>
          <w:u w:val="single"/>
        </w:rPr>
        <w:t>Odontología</w:t>
      </w:r>
      <w:r>
        <w:rPr>
          <w:rFonts w:ascii="Arial" w:hAnsi="Arial" w:cs="Arial"/>
        </w:rPr>
        <w:t xml:space="preserve"> niños y adultos, </w:t>
      </w:r>
      <w:r>
        <w:rPr>
          <w:rFonts w:ascii="Arial" w:hAnsi="Arial" w:cs="Arial"/>
          <w:u w:val="single"/>
        </w:rPr>
        <w:t>Oftalmología</w:t>
      </w:r>
      <w:r>
        <w:rPr>
          <w:rFonts w:ascii="Arial" w:hAnsi="Arial" w:cs="Arial"/>
        </w:rPr>
        <w:t xml:space="preserve"> niños y adultos , </w:t>
      </w:r>
      <w:r>
        <w:rPr>
          <w:rFonts w:ascii="Arial" w:hAnsi="Arial" w:cs="Arial"/>
          <w:u w:val="single"/>
        </w:rPr>
        <w:t>Otorrinolaringología</w:t>
      </w:r>
      <w:r>
        <w:rPr>
          <w:rFonts w:ascii="Arial" w:hAnsi="Arial" w:cs="Arial"/>
        </w:rPr>
        <w:t xml:space="preserve"> niños y adultos , </w:t>
      </w:r>
      <w:r>
        <w:rPr>
          <w:rFonts w:ascii="Arial" w:hAnsi="Arial" w:cs="Arial"/>
          <w:u w:val="single"/>
        </w:rPr>
        <w:t xml:space="preserve">Traumatología </w:t>
      </w:r>
      <w:r>
        <w:rPr>
          <w:rFonts w:ascii="Arial" w:hAnsi="Arial" w:cs="Arial"/>
        </w:rPr>
        <w:t xml:space="preserve">niños y adultos, </w:t>
      </w:r>
      <w:r>
        <w:rPr>
          <w:rFonts w:ascii="Arial" w:hAnsi="Arial" w:cs="Arial"/>
          <w:u w:val="single"/>
        </w:rPr>
        <w:t>Urología</w:t>
      </w:r>
      <w:r>
        <w:rPr>
          <w:rFonts w:ascii="Arial" w:hAnsi="Arial" w:cs="Arial"/>
        </w:rPr>
        <w:t xml:space="preserve"> (a partir de los15 años de edad), </w:t>
      </w:r>
      <w:r>
        <w:rPr>
          <w:rFonts w:ascii="Arial" w:hAnsi="Arial" w:cs="Arial"/>
          <w:u w:val="single"/>
        </w:rPr>
        <w:t>Anestesiología</w:t>
      </w:r>
      <w:r>
        <w:rPr>
          <w:rFonts w:ascii="Arial" w:hAnsi="Arial" w:cs="Arial"/>
        </w:rPr>
        <w:t xml:space="preserve"> (niños y adultos),</w:t>
      </w:r>
      <w:r>
        <w:rPr>
          <w:rFonts w:ascii="Arial" w:hAnsi="Arial" w:eastAsia="Arial Unicode MS" w:cs="Arial"/>
        </w:rPr>
        <w:t xml:space="preserve"> ciertas especialidades pueden ser ofrecidas de manera temporal y ser modificada en directorio medico sin previo aviso.</w:t>
      </w:r>
    </w:p>
    <w:p w14:paraId="726E85EB">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Los servicios de asistencia médica, son ofrecidos en Corporación Médica Zulia Salud CA., ubicada en calle 100 entre avenidas 19G y 19H, N.º 19G-59, jurisdicción de la parroquia Cristo de Aranza, del Municipio Maracaibo del Estado Zulia,</w:t>
      </w:r>
      <w:r>
        <w:rPr>
          <w:rFonts w:ascii="Arial" w:hAnsi="Arial" w:cs="Arial"/>
          <w:b/>
        </w:rPr>
        <w:t xml:space="preserve"> </w:t>
      </w:r>
      <w:r>
        <w:rPr>
          <w:rFonts w:ascii="Arial" w:hAnsi="Arial" w:cs="Arial"/>
        </w:rPr>
        <w:t xml:space="preserve">en conjunto </w:t>
      </w:r>
      <w:r>
        <w:rPr>
          <w:rFonts w:ascii="Arial" w:hAnsi="Arial" w:cs="Arial"/>
          <w:b/>
          <w:bCs/>
        </w:rPr>
        <w:t>con Plan Medico Salud Zulia y</w:t>
      </w:r>
      <w:r>
        <w:rPr>
          <w:rFonts w:ascii="Arial" w:hAnsi="Arial" w:cs="Arial"/>
        </w:rPr>
        <w:t xml:space="preserve"> </w:t>
      </w:r>
      <w:r>
        <w:rPr>
          <w:rFonts w:ascii="Arial" w:hAnsi="Arial" w:cs="Arial"/>
          <w:b/>
        </w:rPr>
        <w:t>Centro Clínico Materno Pediátrico Zulia</w:t>
      </w:r>
      <w:r>
        <w:rPr>
          <w:rFonts w:ascii="Arial" w:hAnsi="Arial" w:cs="Arial"/>
        </w:rPr>
        <w:t xml:space="preserve">. El contratante afiliado y su grupo familiar tendrán derecho a los servicios que se encuentren disponibles en Corporación Médica Zulia Salud, C.A,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 Corporación Médica Zulia Salud, C.A informe sobre su aprobación para ser reembolsados cumpliendo con las exigencias, requisitos y forma de reintegro. Cuando el afiliado se encuentre en el servicio de Hospitalización y requiera algún examen o estudio de diagnóstico amparado en estas normativas y éste no pueda ser realizado por circunstancias imputables a Corporación Médica Zulia Salud, C.A, el afiliado debe estar autorizado previamente y por escrito a realizarlo de forma particular, en cuyo caso el monto por concepto de reembolso será sumado a la cobertura anual del afiliado. </w:t>
      </w:r>
    </w:p>
    <w:p w14:paraId="608A52D0">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dos especialidades por día. </w:t>
      </w:r>
    </w:p>
    <w:p w14:paraId="0E30C396">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Corporación Médica Zulia Salud, C.A, , Plan Medico Salud Zulia ,C.A, y Centro Clínico Materno Pediátrico Zulia, C.A, siendo la atención de los mismos de la siguiente manera: </w:t>
      </w:r>
      <w:r>
        <w:rPr>
          <w:rFonts w:ascii="Arial" w:hAnsi="Arial" w:cs="Arial"/>
          <w:b/>
          <w:bCs/>
        </w:rPr>
        <w:t>Únicamente en</w:t>
      </w:r>
      <w:r>
        <w:rPr>
          <w:rFonts w:ascii="Arial" w:hAnsi="Arial" w:cs="Arial"/>
        </w:rPr>
        <w:t xml:space="preserve">  </w:t>
      </w:r>
      <w:r>
        <w:rPr>
          <w:rFonts w:ascii="Arial" w:hAnsi="Arial" w:cs="Arial"/>
          <w:b/>
          <w:bCs/>
        </w:rPr>
        <w:t>Corporación Médica Zulia Salud, C.A,</w:t>
      </w:r>
      <w:r>
        <w:rPr>
          <w:rFonts w:ascii="Arial" w:hAnsi="Arial" w:cs="Arial"/>
        </w:rPr>
        <w:t xml:space="preserve"> 1. Unidad de Consultas Médicas, 2. Unidad de Laboratorio, 3. Unidad de Ecografía , 4. Unidad de Odontología, 5. Citologías, 6. Electrocardiogramas, 7. Mapa , 8. Holter , 9. Unidad de Rayos X indicados por departamento de citas, todos los estudios diagnósticos aquí mencionados tendrán atención solo por control rutinario, pudiendo esta modalidad cambiar en cualquier momento para beneficio de nuestro contratante, </w:t>
      </w:r>
      <w:r>
        <w:rPr>
          <w:rFonts w:ascii="Arial" w:hAnsi="Arial" w:cs="Arial"/>
          <w:b/>
          <w:bCs/>
        </w:rPr>
        <w:t xml:space="preserve">Únicamente en Plan Medico Salud Zulia, C.A, </w:t>
      </w:r>
      <w:r>
        <w:rPr>
          <w:rFonts w:ascii="Arial" w:hAnsi="Arial" w:cs="Arial"/>
        </w:rPr>
        <w:t xml:space="preserve">Atención de Emergencia Adultos y pediátricos, Unidad de laboratorio, Unidad de ecografía, Unidad de Odontología ( atención de emergencia a criterio medico), Electrocardiograma, Unidad de Rayos X, Mapa, Holter; Todos los estudios diagnósticos mencionados autorizados para realizar en Plan Medico Salud Zulia,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Tomografías de Emergencias ,  Rayos x de control indicados por departamento de citas; Cirugías  Electivas y de Emergencia mencionadas  en numeral 3, Servicio de Emergencia y Hospitalización  Ginecológicas y Obstétricas, Embarazo; entendiéndose la atención de parto natural o Cesárea, Unidad de Cuidados Intensivos adultos y pediátricos; cualquier servicio de atención en un centro diferente a los mencionados, no serán objeto de reembolso alguno; Corporación Médica Zulia Salud, C.A, puede realizar modificaciones notificando las mismas, al correo electrónico a través de asesores autorizados por la empresa.</w:t>
      </w:r>
    </w:p>
    <w:p w14:paraId="2718F9A9">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14:paraId="6D63FEBA">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aquí contemplados son intransferibles, es decir, que son válidos solo para el contratante afiliado y sus beneficiarios registrados, no pudiendo por tanto cederse ni transferirse a persona distintas a estos.</w:t>
      </w:r>
    </w:p>
    <w:p w14:paraId="0038A10E">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expedido por la autoridad competente, en el caso de menores de edad presentar partida de nacimiento.</w:t>
      </w:r>
    </w:p>
    <w:p w14:paraId="341650DC">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partir de los dos (2) meses de nacido, hasta los cincuenta y nueve (59) años de edad, sin embargo, aquellas personas que cumplan 60 años en el mes que decidan afiliarse, serán incluidas en el Plan GÉNESIS DORADO, cuyos servicios se encuentran descritos en las </w:t>
      </w:r>
      <w:r>
        <w:rPr>
          <w:rFonts w:ascii="Arial" w:hAnsi="Arial" w:cs="Arial"/>
          <w:b/>
        </w:rPr>
        <w:t>Condiciones Generales del plan GÉNESIS.</w:t>
      </w:r>
    </w:p>
    <w:p w14:paraId="1CF9BB53">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preingreso quedaran excluidos de sus beneficios los siguientes servicios: Hospitalización adultos y pediátricos, Unidad de cuidados intensivos adultos y pediátricos, Embarazo, Cirugías electivas y de emergencias.</w:t>
      </w:r>
    </w:p>
    <w:p w14:paraId="76FDCCCA">
      <w:pPr>
        <w:spacing w:line="276" w:lineRule="auto"/>
        <w:jc w:val="both"/>
        <w:rPr>
          <w:rFonts w:ascii="Arial" w:hAnsi="Arial" w:cs="Arial"/>
        </w:rPr>
      </w:pPr>
      <w:r>
        <w:rPr>
          <w:rFonts w:ascii="Arial" w:hAnsi="Arial" w:cs="Arial"/>
          <w:b/>
        </w:rPr>
        <w:t>13. CAMBIO DE PLANES:</w:t>
      </w:r>
      <w:r>
        <w:rPr>
          <w:rFonts w:ascii="Arial" w:hAnsi="Arial" w:cs="Arial"/>
        </w:rPr>
        <w:t xml:space="preserve"> En el caso en que el contratante decida hacer un cambio de Plan, éste conservará la antigüedad, pero para poder disfrutar los nuevos beneficios del Plan a contratar, deberán cumplir los plazos de espera necesarios y se comenzará a computar a partir del momento en que se haga efectivo el cambio en el sistema, lo cual será notificado por su asesor.</w:t>
      </w:r>
    </w:p>
    <w:p w14:paraId="62238F9D">
      <w:pPr>
        <w:spacing w:line="276" w:lineRule="auto"/>
        <w:jc w:val="both"/>
        <w:rPr>
          <w:rFonts w:ascii="Arial" w:hAnsi="Arial" w:cs="Arial"/>
        </w:rPr>
      </w:pPr>
      <w:r>
        <w:rPr>
          <w:rFonts w:ascii="Arial" w:hAnsi="Arial" w:cs="Arial"/>
          <w:b/>
        </w:rPr>
        <w:t>14. CUOTAS DE AFILIACIÓN: a.-</w:t>
      </w:r>
      <w:r>
        <w:rPr>
          <w:rFonts w:ascii="Arial" w:hAnsi="Arial" w:cs="Arial"/>
        </w:rPr>
        <w:t xml:space="preserve"> 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Corporación Médica Zulia Salud, C.A, y deberá el contratante cancelar lo establecido en el PRAGRAFO UNICO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b/>
          <w:bCs/>
        </w:rPr>
        <w:t>b.-</w:t>
      </w:r>
      <w:r>
        <w:rPr>
          <w:rFonts w:ascii="Arial" w:hAnsi="Arial" w:cs="Arial"/>
        </w:rPr>
        <w:t xml:space="preserve"> Corporación Médica Zulia Salud, C.A, podrá sobre la base de los incrementos en el costo para la prestación de los servicios ofrecidos en el presente contrato o por efecto de la inflación, modificar las cuotas mensuales a cancelar por el afiliado, notificando al contratante con treinta (30) días continuos de anticipación. </w:t>
      </w:r>
    </w:p>
    <w:p w14:paraId="5E16CCD3">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4º)</w:t>
      </w:r>
      <w:r>
        <w:rPr>
          <w:rFonts w:ascii="Arial" w:hAnsi="Arial" w:cs="Arial"/>
        </w:rPr>
        <w:t xml:space="preserve">Por comportamiento inadecuado, falta de probidad, irrespeto al personal directivo, médico, administrativo y obrero de </w:t>
      </w:r>
      <w:r>
        <w:rPr>
          <w:rFonts w:ascii="Arial" w:hAnsi="Arial" w:cs="Arial"/>
          <w:b/>
          <w:bCs/>
        </w:rPr>
        <w:t>Corporación Médica Zulia Salud, C.A</w:t>
      </w:r>
      <w:r>
        <w:rPr>
          <w:rFonts w:ascii="Arial" w:hAnsi="Arial" w:cs="Arial"/>
        </w:rPr>
        <w:t xml:space="preserv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Corporación Médica Zulia Salud, C.A, Plan Medico Salud Zulia, C.A, así como del Centro Clínico Materno Pediátrico 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 xml:space="preserve">Cuando se determine durante el primer año del contrato, antecedente o diagnóstico de litiasis vesicular u otra patología biliar.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Enfermedades, padecimientos, lesiones o accidentes derivados de: </w:t>
      </w:r>
      <w:r>
        <w:rPr>
          <w:rFonts w:ascii="Arial" w:hAnsi="Arial" w:cs="Arial"/>
          <w:b/>
          <w:bCs/>
        </w:rPr>
        <w:t>a.-</w:t>
      </w:r>
      <w:r>
        <w:rPr>
          <w:rFonts w:ascii="Arial" w:hAnsi="Arial" w:cs="Arial"/>
        </w:rPr>
        <w:t xml:space="preserve"> Ingesta de alcohol. </w:t>
      </w:r>
      <w:r>
        <w:rPr>
          <w:rFonts w:ascii="Arial" w:hAnsi="Arial" w:cs="Arial"/>
          <w:b/>
          <w:bCs/>
        </w:rPr>
        <w:t>b.-</w:t>
      </w:r>
      <w:r>
        <w:rPr>
          <w:rFonts w:ascii="Arial" w:hAnsi="Arial" w:cs="Arial"/>
        </w:rPr>
        <w:t xml:space="preserve"> Participación en hechos delictivos, riñas o alteraciones del orden público. </w:t>
      </w:r>
      <w:r>
        <w:rPr>
          <w:rFonts w:ascii="Arial" w:hAnsi="Arial" w:cs="Arial"/>
          <w:b/>
          <w:bCs/>
        </w:rPr>
        <w:t xml:space="preserve">9°) </w:t>
      </w:r>
      <w:r>
        <w:rPr>
          <w:rFonts w:ascii="Arial" w:hAnsi="Arial" w:cs="Arial"/>
        </w:rPr>
        <w:t xml:space="preserve">La alteración de órdenes y estudios médicos. </w:t>
      </w:r>
      <w:r>
        <w:rPr>
          <w:rFonts w:ascii="Arial" w:hAnsi="Arial" w:cs="Arial"/>
          <w:b/>
        </w:rPr>
        <w:t>PARÁGRAFO ÚNICO</w:t>
      </w:r>
      <w:r>
        <w:rPr>
          <w:rFonts w:ascii="Arial" w:hAnsi="Arial" w:cs="Arial"/>
        </w:rPr>
        <w:t>: En los casos de anulación antes descritos el contratante deberá cancelar a Corporación Médica Zulia Salud, C.A, la diferencia entre lo pagado en sus cuotas mensuales y lo consumido por la asistencia médica prestada; si los afiliados no hubiesen usado el servicio, se considerará consumido el monto total del servicio contratado como indemnización por daños y perjuicios a favor de Corporación Médica Zulia Salud, C.A.</w:t>
      </w:r>
    </w:p>
    <w:p w14:paraId="64DC39D4">
      <w:pPr>
        <w:spacing w:line="276" w:lineRule="auto"/>
        <w:jc w:val="both"/>
        <w:rPr>
          <w:rFonts w:ascii="Arial" w:hAnsi="Arial" w:cs="Arial"/>
        </w:rPr>
      </w:pPr>
      <w:r>
        <w:rPr>
          <w:rFonts w:ascii="Arial" w:hAnsi="Arial" w:cs="Arial"/>
        </w:rPr>
        <w:t xml:space="preserve"> </w:t>
      </w: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Toda persona puede ser afiliable siempre y cuando cumpla con las normativas establecidas en este documento. </w:t>
      </w:r>
    </w:p>
    <w:p w14:paraId="180B013E">
      <w:pPr>
        <w:spacing w:line="276" w:lineRule="auto"/>
        <w:jc w:val="both"/>
        <w:rPr>
          <w:rFonts w:ascii="Arial" w:hAnsi="Arial" w:eastAsia="Arial Unicode MS" w:cs="Arial"/>
        </w:rPr>
      </w:pPr>
      <w:r>
        <w:rPr>
          <w:rFonts w:ascii="Arial" w:hAnsi="Arial" w:cs="Arial"/>
          <w:b/>
        </w:rPr>
        <w:t>17. PLAZOS DE ESPERA</w:t>
      </w:r>
      <w:r>
        <w:rPr>
          <w:rFonts w:ascii="Arial" w:hAnsi="Arial" w:cs="Arial"/>
        </w:rPr>
        <w:t xml:space="preserve">: Para los afiliados que originalmente conformen el grupo inicial para el disfrute del Plan Colectivo (40 o más afiliados), no tendrán plazos de espera para gozar de los beneficios ofrecidos, exceptuando mujeres en estado de gravidez, que deberá estar aprobado su ingreso como beneficiario por Corporación Médica Zulia Salud, C.A, Las enfermedades preexistentes no estarán cubiertas en ningún caso.  Las personas que ingresen posteriormente a la fecha de afiliación inicial tendrán los siguientes plazos de espera. 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bCs/>
          <w:u w:val="single"/>
        </w:rPr>
        <w:t xml:space="preserve">3 meses </w:t>
      </w:r>
      <w:r>
        <w:rPr>
          <w:rFonts w:ascii="Arial" w:hAnsi="Arial" w:cs="Arial"/>
        </w:rPr>
        <w:t xml:space="preserve">para servicio de odontología,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 xml:space="preserve">3 meses </w:t>
      </w:r>
      <w:r>
        <w:rPr>
          <w:rFonts w:ascii="Arial" w:hAnsi="Arial" w:cs="Arial"/>
        </w:rPr>
        <w:t xml:space="preserve">Mapa, Holter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de emergencia, </w:t>
      </w:r>
      <w:r>
        <w:rPr>
          <w:rFonts w:ascii="Arial" w:hAnsi="Arial" w:cs="Arial"/>
          <w:b/>
          <w:u w:val="single"/>
        </w:rPr>
        <w:t>3 meses</w:t>
      </w:r>
      <w:r>
        <w:rPr>
          <w:rFonts w:ascii="Arial" w:hAnsi="Arial" w:cs="Arial"/>
        </w:rPr>
        <w:t xml:space="preserve"> para Ecogramas especiales ( control y emergencias) , </w:t>
      </w:r>
      <w:r>
        <w:rPr>
          <w:rFonts w:ascii="Arial" w:hAnsi="Arial" w:cs="Arial"/>
          <w:b/>
          <w:u w:val="single"/>
        </w:rPr>
        <w:t>3 meses</w:t>
      </w:r>
      <w:r>
        <w:rPr>
          <w:rFonts w:ascii="Arial" w:hAnsi="Arial" w:cs="Arial"/>
        </w:rPr>
        <w:t xml:space="preserve"> para servicio de exámenes de laboratorio especiales ( control y emergencias) ;. El control para la maternidad, aborto espontáneo, embarazo ectópico, parto vaginal, instrumental o cesárea, así como los Ecogramas especiales tales como, perfil hemodinámico, Morfogenéticos y perfil biofísico solo aplica para los embarazos concebidos durante el segundo año de contrato ininterrumpido. En caso de que el embarazo ocurra dentro del primer año de contrato, Corporación Médica Zulia Salud, C.A, se reserva el derecho de suspender los siguientes servicios mientras dure el embarazo: Laboratorio, Ecogramas (pélvicos, obstétricos, transvaginal, Morfogenéticos, perfil biofísico, perfil hemodinámico), consultas primarias de ginecología y servicio de emergencias obstétricas.   </w:t>
      </w:r>
    </w:p>
    <w:p w14:paraId="47701E5E">
      <w:pPr>
        <w:spacing w:line="276" w:lineRule="auto"/>
        <w:jc w:val="both"/>
        <w:rPr>
          <w:rFonts w:ascii="Arial" w:hAnsi="Arial" w:cs="Arial"/>
        </w:rPr>
      </w:pPr>
      <w:r>
        <w:rPr>
          <w:rFonts w:ascii="Arial" w:hAnsi="Arial" w:cs="Arial"/>
          <w:b/>
        </w:rPr>
        <w:t>18.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afiliado durante el año de vigencia de los contratos suscritos entre Corporación Médica Zulia Salud, C.A, los contratantes afiliados y su grupo familiar.  Agotada dicha cantidad, los gastos que genere el contratante afiliado y su grupo familiar en el centro de atención hospitalaria, correrán por cuenta de éstos, sin que exista responsabilidad alguna por parte de Corporación Médica Zulia Salud, C.A,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14:paraId="3F584E87">
      <w:pPr>
        <w:spacing w:line="276" w:lineRule="auto"/>
        <w:jc w:val="both"/>
        <w:rPr>
          <w:rFonts w:ascii="Arial" w:hAnsi="Arial" w:cs="Arial"/>
        </w:rPr>
      </w:pPr>
      <w:r>
        <w:rPr>
          <w:rFonts w:ascii="Arial" w:hAnsi="Arial" w:cs="Arial"/>
          <w:b/>
        </w:rPr>
        <w:t xml:space="preserve">19. </w:t>
      </w:r>
      <w:bookmarkStart w:id="1" w:name="_Hlk137634780"/>
      <w:r>
        <w:rPr>
          <w:rFonts w:ascii="Arial" w:hAnsi="Arial" w:cs="Arial"/>
          <w:b/>
        </w:rPr>
        <w:t>CORPORACION MÉDICA ZULIA SALUD, C.A</w:t>
      </w:r>
      <w:bookmarkEnd w:id="1"/>
      <w:r>
        <w:rPr>
          <w:rFonts w:ascii="Arial" w:hAnsi="Arial" w:cs="Arial"/>
          <w:b/>
        </w:rPr>
        <w:t xml:space="preserve">, </w:t>
      </w:r>
      <w:r>
        <w:rPr>
          <w:rFonts w:ascii="Arial" w:hAnsi="Arial" w:cs="Arial"/>
        </w:rPr>
        <w:t>asume su responsabilidad frente al contratante en los términos y condiciones expresamente estipulados en el respectivo Contrato y sus Anexos autorizados y emitidos. En consecuencia, cualquier concepto, término y condición que pueda surgir en la ejecución del Contrato, no autorizado por Corporación Médica Zulia Salud, C.A, en la normativa y en sus instrumentos documentales expresamente autorizados y aceptados por las partes, aun cuando emanen de cualquier otro sujeto interviniente en la actividad que integra la relación contractual como el caso de los Asesores, no obligará a Corporación Médica Zulia Salud, C.A,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0B6266CA">
      <w:pPr>
        <w:spacing w:line="276" w:lineRule="auto"/>
        <w:jc w:val="both"/>
        <w:rPr>
          <w:rFonts w:ascii="Arial" w:hAnsi="Arial" w:cs="Arial"/>
          <w:highlight w:val="yellow"/>
        </w:rPr>
      </w:pPr>
      <w:r>
        <w:rPr>
          <w:rFonts w:ascii="Arial" w:hAnsi="Arial" w:cs="Arial"/>
          <w:b/>
        </w:rPr>
        <w:t>20.</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Corporación Médica Zulia Salud, C.A, a través del asesor notificará cualquier modificación o anulación del presente contrato.</w:t>
      </w:r>
    </w:p>
    <w:p w14:paraId="48F89E08">
      <w:pPr>
        <w:spacing w:line="276" w:lineRule="auto"/>
        <w:jc w:val="both"/>
        <w:rPr>
          <w:rFonts w:ascii="Arial" w:hAnsi="Arial" w:cs="Arial"/>
        </w:rPr>
      </w:pPr>
      <w:r>
        <w:rPr>
          <w:rFonts w:ascii="Arial" w:hAnsi="Arial" w:cs="Arial"/>
          <w:b/>
        </w:rPr>
        <w:t>21.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26C58708">
      <w:pPr>
        <w:spacing w:line="276" w:lineRule="auto"/>
        <w:jc w:val="both"/>
        <w:rPr>
          <w:rFonts w:ascii="Arial" w:hAnsi="Arial" w:cs="Arial"/>
        </w:rPr>
      </w:pPr>
      <w:r>
        <w:rPr>
          <w:rFonts w:ascii="Arial" w:hAnsi="Arial" w:cs="Arial"/>
          <w:b/>
        </w:rPr>
        <w:t>22.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668D5E23">
      <w:pPr>
        <w:spacing w:line="276" w:lineRule="auto"/>
        <w:jc w:val="both"/>
        <w:rPr>
          <w:rFonts w:ascii="Arial" w:hAnsi="Arial" w:cs="Arial"/>
        </w:rPr>
      </w:pPr>
      <w:r>
        <w:rPr>
          <w:rFonts w:ascii="Arial" w:hAnsi="Arial" w:cs="Arial"/>
          <w:b/>
        </w:rPr>
        <w:t>23.</w:t>
      </w:r>
      <w:r>
        <w:rPr>
          <w:rFonts w:ascii="Arial" w:hAnsi="Arial" w:cs="Arial"/>
        </w:rPr>
        <w:t xml:space="preserve"> </w:t>
      </w:r>
      <w:r>
        <w:rPr>
          <w:rFonts w:ascii="Arial" w:hAnsi="Arial" w:cs="Arial"/>
          <w:b/>
        </w:rPr>
        <w:t>CORPORACION MÉDICA ZULIA SALUD, C.A</w:t>
      </w:r>
      <w:r>
        <w:rPr>
          <w:rFonts w:ascii="Arial" w:hAnsi="Arial" w:cs="Arial"/>
          <w:b/>
          <w:bCs/>
        </w:rPr>
        <w:t>,</w:t>
      </w:r>
      <w:r>
        <w:rPr>
          <w:rFonts w:ascii="Arial" w:hAnsi="Arial" w:cs="Arial"/>
        </w:rPr>
        <w:t xml:space="preserve">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 Corporación Médica Zulia Salud, C.A, y estas sean presentadas por el asesor a departamento de ventas para su respectiva contratación y posterior activación a discreción de la empresa con notificación previa al asesor. Corporación Médica Zulia Salud, C.A, así mismo no será responsable ni solidaria ni subsidiariamente por pagos que haya efectuado el contratante a otra persona natural o jurídica distinta ni en cuentas bancarias que no hayan sido a las convenidas expresamente, aun cuando se trate de otros sujetos intervinientes en la actividad que integra la relación contractual como Asesores.</w:t>
      </w:r>
    </w:p>
    <w:p w14:paraId="12D3245F">
      <w:pPr>
        <w:spacing w:line="276" w:lineRule="auto"/>
        <w:jc w:val="both"/>
        <w:rPr>
          <w:rFonts w:ascii="Arial" w:hAnsi="Arial" w:cs="Arial"/>
        </w:rPr>
      </w:pPr>
      <w:r>
        <w:rPr>
          <w:rFonts w:ascii="Arial" w:hAnsi="Arial" w:cs="Arial"/>
          <w:b/>
        </w:rPr>
        <w:t>24. CORPORACION MÉDICA ZULIA SALUD, C.A</w:t>
      </w:r>
      <w:r>
        <w:rPr>
          <w:rFonts w:ascii="Arial" w:hAnsi="Arial" w:cs="Arial"/>
          <w:b/>
          <w:bCs/>
        </w:rPr>
        <w:t xml:space="preserve">, </w:t>
      </w:r>
      <w:r>
        <w:rPr>
          <w:rFonts w:ascii="Arial" w:hAnsi="Arial" w:cs="Arial"/>
        </w:rPr>
        <w:t>responderá exclusivamente por las obligaciones que asume directamente frente al contratante en los términos y condiciones convenidos en el Contrato. Esta responsabilidad surgirá siempre y cuando las actuaciones, omisiones, recomendaciones, instrucciones y sugerencias emanadas de Corporación Médica Zulia Salud, C.A, las ejecuten sólo sus empleados y/o representantes legales; en consecuencia, cualquier reclamación que pueda surgir contra Corporación Médica Zulia Salud, C.A, causada por la actuación, omisión, recomendación, instrucción y sugerencia de cualquier persona natural o jurídica, distinta, incluyendo Asesores, no será responsabilidad de Corporación Médica Zulia Salud, C.A.</w:t>
      </w:r>
    </w:p>
    <w:p w14:paraId="4957C7CC">
      <w:pPr>
        <w:spacing w:line="276" w:lineRule="auto"/>
        <w:jc w:val="both"/>
        <w:rPr>
          <w:rFonts w:ascii="Arial" w:hAnsi="Arial" w:cs="Arial"/>
        </w:rPr>
      </w:pPr>
      <w:r>
        <w:rPr>
          <w:rFonts w:ascii="Arial" w:hAnsi="Arial" w:cs="Arial"/>
          <w:b/>
          <w:bCs/>
        </w:rPr>
        <w:t>25.</w:t>
      </w:r>
      <w:r>
        <w:rPr>
          <w:rFonts w:ascii="Arial" w:hAnsi="Arial" w:cs="Arial"/>
          <w:b/>
        </w:rPr>
        <w:t xml:space="preserve"> CORPORACION MÉDICA ZULIA SALUD, C.A</w:t>
      </w:r>
      <w:r>
        <w:rPr>
          <w:rFonts w:ascii="Arial" w:hAnsi="Arial" w:cs="Arial"/>
          <w:b/>
          <w:bCs/>
        </w:rPr>
        <w:t xml:space="preserve">, </w:t>
      </w:r>
      <w:r>
        <w:rPr>
          <w:rFonts w:ascii="Arial" w:hAnsi="Arial" w:cs="Arial"/>
        </w:rPr>
        <w:t>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señaladas dará derecho a la resolución inmediata del contrato y faculta a la empresa de ejercer acciones legales pertinentes en contra del accionante.</w:t>
      </w:r>
    </w:p>
    <w:p w14:paraId="5BB7DA41">
      <w:pPr>
        <w:spacing w:after="200" w:line="276" w:lineRule="auto"/>
        <w:contextualSpacing/>
        <w:jc w:val="both"/>
        <w:rPr>
          <w:rFonts w:ascii="Arial" w:hAnsi="Arial" w:eastAsia="Calibri" w:cs="Arial"/>
          <w:b w:val="0"/>
          <w:bCs/>
          <w:lang w:eastAsia="en-US"/>
        </w:rPr>
      </w:pPr>
      <w:r>
        <w:rPr>
          <w:rFonts w:ascii="Arial" w:hAnsi="Arial" w:eastAsia="Calibri" w:cs="Arial"/>
          <w:b/>
          <w:lang w:eastAsia="en-US"/>
        </w:rPr>
        <w:t xml:space="preserve">26. LÍMITE DE COBERTURA: </w:t>
      </w:r>
      <w:r>
        <w:rPr>
          <w:rFonts w:hint="default" w:ascii="Arial" w:hAnsi="Arial" w:eastAsia="Calibri"/>
          <w:b w:val="0"/>
          <w:bCs/>
          <w:lang w:eastAsia="en-US"/>
        </w:rPr>
        <w:t>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w:t>
      </w:r>
      <w:r>
        <w:rPr>
          <w:rFonts w:hint="default" w:ascii="Arial" w:hAnsi="Arial" w:eastAsia="Calibri"/>
          <w:b w:val="0"/>
          <w:bCs/>
          <w:lang w:val="es-ES" w:eastAsia="en-US"/>
        </w:rPr>
        <w:t xml:space="preserve"> </w:t>
      </w:r>
      <w:r>
        <w:rPr>
          <w:rFonts w:ascii="Arial" w:hAnsi="Arial" w:eastAsia="Calibri" w:cs="Arial"/>
          <w:b/>
          <w:lang w:eastAsia="en-US"/>
        </w:rPr>
        <w:t xml:space="preserve">PLAN JIREH </w:t>
      </w:r>
      <w:r>
        <w:rPr>
          <w:rFonts w:ascii="Arial" w:hAnsi="Arial" w:eastAsia="Calibri" w:cs="Arial"/>
          <w:lang w:eastAsia="en-US"/>
        </w:rPr>
        <w:t xml:space="preserve">es de </w:t>
      </w:r>
      <w:r>
        <w:rPr>
          <w:rFonts w:ascii="Arial" w:hAnsi="Arial" w:eastAsia="Calibri" w:cs="Arial"/>
          <w:b/>
          <w:lang w:eastAsia="en-US"/>
        </w:rPr>
        <w:t>VEINTICINCO MIL DOLARES (25.000 USD)</w:t>
      </w:r>
      <w:r>
        <w:rPr>
          <w:rFonts w:hint="default" w:ascii="Arial" w:hAnsi="Arial" w:eastAsia="Calibri" w:cs="Arial"/>
          <w:b/>
          <w:lang w:val="es-ES" w:eastAsia="en-US"/>
        </w:rPr>
        <w:t xml:space="preserve"> </w:t>
      </w:r>
      <w:r>
        <w:rPr>
          <w:rFonts w:hint="default" w:ascii="Arial" w:hAnsi="Arial" w:eastAsia="Calibri"/>
          <w:b w:val="0"/>
          <w:bCs/>
          <w:lang w:eastAsia="en-US"/>
        </w:rPr>
        <w:t>o su equivalente en moneda nacional, caso éste en el cual será referido al factor cambiario que publique el Banco Central de Venezuela en la oportunidad cuando corresponda darse cumplimiento de los servicios. Queda entendido que en ambos casos, el limite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r>
        <w:rPr>
          <w:rFonts w:ascii="Arial" w:hAnsi="Arial" w:eastAsia="Calibri" w:cs="Arial"/>
          <w:b w:val="0"/>
          <w:bCs/>
          <w:lang w:eastAsia="en-US"/>
        </w:rPr>
        <w:t xml:space="preserve"> </w:t>
      </w:r>
    </w:p>
    <w:p w14:paraId="33C1060F">
      <w:pPr>
        <w:spacing w:line="276" w:lineRule="auto"/>
        <w:jc w:val="both"/>
        <w:rPr>
          <w:rFonts w:ascii="Arial" w:hAnsi="Arial" w:cs="Arial"/>
          <w:b/>
          <w:bCs/>
        </w:rPr>
      </w:pPr>
      <w:r>
        <w:rPr>
          <w:rFonts w:ascii="Arial" w:hAnsi="Arial" w:cs="Arial"/>
          <w:b/>
        </w:rPr>
        <w:t>27. MODIFICACION DE LAS CONDICIONES:</w:t>
      </w:r>
      <w:r>
        <w:rPr>
          <w:rFonts w:ascii="Arial" w:hAnsi="Arial" w:cs="Arial"/>
        </w:rPr>
        <w:t xml:space="preserve"> Corporación Médica Zulia Salud, C.A, tendrá el derecho absoluto de modificar el contenido de estas condiciones generales cuando así lo considere conveniente para la mejor prestación del servicio y notificará a los contratantes dichas modificaciones en los términos y medios establecidos. </w:t>
      </w:r>
    </w:p>
    <w:p w14:paraId="78EF5758">
      <w:pPr>
        <w:rPr>
          <w:rFonts w:ascii="Arial" w:hAnsi="Arial" w:cs="Arial"/>
        </w:rPr>
      </w:pPr>
    </w:p>
    <w:p w14:paraId="7DC71414">
      <w:pPr>
        <w:spacing w:line="276" w:lineRule="auto"/>
        <w:jc w:val="center"/>
        <w:rPr>
          <w:rFonts w:ascii="Arial" w:hAnsi="Arial" w:cs="Arial"/>
          <w:b/>
          <w:sz w:val="28"/>
          <w:szCs w:val="28"/>
        </w:rPr>
      </w:pPr>
    </w:p>
    <w:p w14:paraId="2E32889B">
      <w:pPr>
        <w:tabs>
          <w:tab w:val="left" w:pos="6420"/>
        </w:tabs>
        <w:rPr>
          <w:rFonts w:ascii="Arial" w:hAnsi="Arial" w:cs="Arial"/>
        </w:rPr>
      </w:pPr>
    </w:p>
    <w:p w14:paraId="5D1E0938"/>
    <w:sectPr>
      <w:headerReference r:id="rId5" w:type="first"/>
      <w:headerReference r:id="rId3" w:type="default"/>
      <w:footerReference r:id="rId6" w:type="default"/>
      <w:headerReference r:id="rId4" w:type="even"/>
      <w:pgSz w:w="12240" w:h="15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333CC">
    <w:pPr>
      <w:pStyle w:val="7"/>
      <w:jc w:val="center"/>
      <w:rPr>
        <w:lang w:val="es-ES"/>
      </w:rPr>
    </w:pPr>
    <w:r>
      <w:rPr>
        <w:lang w:val="es-ES"/>
      </w:rPr>
      <w:t>NORMATIVA PLAN JIREH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DD510">
    <w:pPr>
      <w:pStyle w:val="6"/>
      <w:jc w:val="center"/>
    </w:pPr>
    <w:r>
      <w:rPr>
        <w:lang w:eastAsia="es-VE"/>
      </w:rPr>
      <w:pict>
        <v:shape id="WordPictureWatermark13854142" o:spid="_x0000_s4098" o:spt="75" type="#_x0000_t75" style="position:absolute;left:0pt;height:579.35pt;width:441.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r>
      <w:rPr>
        <w:lang w:eastAsia="es-VE"/>
      </w:rPr>
      <w:drawing>
        <wp:inline distT="0" distB="0" distL="0" distR="0">
          <wp:extent cx="4070985" cy="15684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31303" b="30170"/>
                  <a:stretch>
                    <a:fillRect/>
                  </a:stretch>
                </pic:blipFill>
                <pic:spPr>
                  <a:xfrm>
                    <a:off x="0" y="0"/>
                    <a:ext cx="4069987" cy="1568041"/>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98B0">
    <w:pPr>
      <w:pStyle w:val="6"/>
    </w:pPr>
    <w:r>
      <w:rPr>
        <w:lang w:eastAsia="es-VE"/>
      </w:rPr>
      <w:pict>
        <v:shape id="WordPictureWatermark13854141" o:spid="_x0000_s4099" o:spt="75" type="#_x0000_t75" style="position:absolute;left:0pt;height:579.35pt;width:441.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931D">
    <w:pPr>
      <w:pStyle w:val="6"/>
    </w:pPr>
    <w:r>
      <w:rPr>
        <w:lang w:eastAsia="es-VE"/>
      </w:rPr>
      <w:pict>
        <v:shape id="WordPictureWatermark13854140" o:spid="_x0000_s4097" o:spt="75" type="#_x0000_t75" style="position:absolute;left:0pt;height:579.35pt;width:441.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05353"/>
    <w:rsid w:val="000372BC"/>
    <w:rsid w:val="00090B0A"/>
    <w:rsid w:val="000E20F2"/>
    <w:rsid w:val="000F1068"/>
    <w:rsid w:val="00205A20"/>
    <w:rsid w:val="00360932"/>
    <w:rsid w:val="00364353"/>
    <w:rsid w:val="003B17E5"/>
    <w:rsid w:val="004D1D8E"/>
    <w:rsid w:val="004D6D7A"/>
    <w:rsid w:val="005421E0"/>
    <w:rsid w:val="00587715"/>
    <w:rsid w:val="00594EDA"/>
    <w:rsid w:val="006F19C9"/>
    <w:rsid w:val="007005CC"/>
    <w:rsid w:val="007726C1"/>
    <w:rsid w:val="007759B3"/>
    <w:rsid w:val="007B7035"/>
    <w:rsid w:val="007F7C74"/>
    <w:rsid w:val="00882D31"/>
    <w:rsid w:val="0091313E"/>
    <w:rsid w:val="00982320"/>
    <w:rsid w:val="009B59E2"/>
    <w:rsid w:val="00A34151"/>
    <w:rsid w:val="00A420CE"/>
    <w:rsid w:val="00A64C3A"/>
    <w:rsid w:val="00AA57FF"/>
    <w:rsid w:val="00AF7BD2"/>
    <w:rsid w:val="00C857F1"/>
    <w:rsid w:val="00C876C2"/>
    <w:rsid w:val="00D56A82"/>
    <w:rsid w:val="00DB4F71"/>
    <w:rsid w:val="00E17763"/>
    <w:rsid w:val="00EA76C9"/>
    <w:rsid w:val="00EC4E24"/>
    <w:rsid w:val="00F557AC"/>
    <w:rsid w:val="08F2615B"/>
    <w:rsid w:val="218D41B0"/>
    <w:rsid w:val="4C2F6C89"/>
    <w:rsid w:val="62CB2B1B"/>
    <w:rsid w:val="69561021"/>
    <w:rsid w:val="6E283FE8"/>
    <w:rsid w:val="75B84603"/>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es-VE" w:eastAsia="es-VE" w:bidi="ar-SA"/>
    </w:rPr>
  </w:style>
  <w:style w:type="paragraph" w:styleId="2">
    <w:name w:val="heading 1"/>
    <w:basedOn w:val="1"/>
    <w:next w:val="1"/>
    <w:link w:val="11"/>
    <w:qFormat/>
    <w:uiPriority w:val="99"/>
    <w:pPr>
      <w:keepNext/>
      <w:jc w:val="both"/>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rPr>
      <w:rFonts w:ascii="Tahoma" w:hAnsi="Tahoma" w:cs="Tahoma" w:eastAsiaTheme="minorHAnsi"/>
      <w:sz w:val="16"/>
      <w:szCs w:val="16"/>
      <w:lang w:eastAsia="en-US"/>
    </w:rPr>
  </w:style>
  <w:style w:type="paragraph" w:styleId="6">
    <w:name w:val="header"/>
    <w:basedOn w:val="1"/>
    <w:link w:val="8"/>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paragraph" w:styleId="7">
    <w:name w:val="footer"/>
    <w:basedOn w:val="1"/>
    <w:link w:val="9"/>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character" w:customStyle="1" w:styleId="8">
    <w:name w:val="Encabezado Car"/>
    <w:basedOn w:val="3"/>
    <w:link w:val="6"/>
    <w:qFormat/>
    <w:uiPriority w:val="99"/>
  </w:style>
  <w:style w:type="character" w:customStyle="1" w:styleId="9">
    <w:name w:val="Pie de página Car"/>
    <w:basedOn w:val="3"/>
    <w:link w:val="7"/>
    <w:qFormat/>
    <w:uiPriority w:val="99"/>
  </w:style>
  <w:style w:type="character" w:customStyle="1" w:styleId="10">
    <w:name w:val="Texto de globo Car"/>
    <w:basedOn w:val="3"/>
    <w:link w:val="5"/>
    <w:semiHidden/>
    <w:qFormat/>
    <w:uiPriority w:val="99"/>
    <w:rPr>
      <w:rFonts w:ascii="Tahoma" w:hAnsi="Tahoma" w:cs="Tahoma"/>
      <w:sz w:val="16"/>
      <w:szCs w:val="16"/>
    </w:rPr>
  </w:style>
  <w:style w:type="character" w:customStyle="1" w:styleId="11">
    <w:name w:val="Título 1 Car"/>
    <w:basedOn w:val="3"/>
    <w:link w:val="2"/>
    <w:qFormat/>
    <w:uiPriority w:val="99"/>
    <w:rPr>
      <w:rFonts w:ascii="Times New Roman" w:hAnsi="Times New Roman" w:eastAsia="Times New Roman" w:cs="Times New Roman"/>
      <w:b/>
      <w:bCs/>
      <w:sz w:val="24"/>
      <w:szCs w:val="24"/>
      <w:lang w:eastAsia="es-V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4843</Words>
  <Characters>26637</Characters>
  <Lines>221</Lines>
  <Paragraphs>62</Paragraphs>
  <TotalTime>3</TotalTime>
  <ScaleCrop>false</ScaleCrop>
  <LinksUpToDate>false</LinksUpToDate>
  <CharactersWithSpaces>31418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2023-06-19T01:57:00Z</dcterms:created>
  <dc:creator>SZ-45</dc:creator>
  <cp:lastModifiedBy>Mercadeo Plan Medico Salud Zulia</cp:lastModifiedBy>
  <cp:lastPrinted>2025-02-20T20:36:39Z</cp:lastPrinted>
  <dcterms:modified xsi:type="dcterms:W3CDTF">2025-02-20T20:37:12Z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D31F44800E0A4348AA2C2C54237CA969</vt:lpwstr>
  </property>
</Properties>
</file>